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6F" w:rsidRPr="00DA296F" w:rsidRDefault="00DA296F">
      <w:pPr>
        <w:rPr>
          <w:sz w:val="32"/>
          <w:szCs w:val="32"/>
          <w:lang w:val="ca-ES"/>
        </w:rPr>
      </w:pPr>
      <w:proofErr w:type="spellStart"/>
      <w:r w:rsidRPr="00DA296F">
        <w:rPr>
          <w:i/>
          <w:sz w:val="32"/>
          <w:szCs w:val="32"/>
          <w:lang w:val="ca-ES"/>
        </w:rPr>
        <w:t>Antígona</w:t>
      </w:r>
      <w:proofErr w:type="spellEnd"/>
      <w:r w:rsidRPr="00DA296F">
        <w:rPr>
          <w:sz w:val="32"/>
          <w:szCs w:val="32"/>
          <w:lang w:val="ca-ES"/>
        </w:rPr>
        <w:t xml:space="preserve"> de Salvador Espriu</w:t>
      </w:r>
    </w:p>
    <w:p w:rsidR="00BA590B" w:rsidRDefault="00DA296F">
      <w:pPr>
        <w:rPr>
          <w:lang w:val="ca-ES"/>
        </w:rPr>
      </w:pPr>
      <w:r>
        <w:rPr>
          <w:lang w:val="ca-ES"/>
        </w:rPr>
        <w:t>Opinions del  Lúcid Conseller (</w:t>
      </w:r>
      <w:r w:rsidR="00BA590B">
        <w:rPr>
          <w:lang w:val="ca-ES"/>
        </w:rPr>
        <w:t xml:space="preserve">personatge que no és present en la primera edició, i que només apareix en la tercera part de l’obra, nova en </w:t>
      </w:r>
      <w:r>
        <w:rPr>
          <w:lang w:val="ca-ES"/>
        </w:rPr>
        <w:t xml:space="preserve">edició 1967-9), sobre </w:t>
      </w:r>
      <w:r w:rsidR="00BA590B">
        <w:rPr>
          <w:lang w:val="ca-ES"/>
        </w:rPr>
        <w:t>la protagonista i l’antagonista.</w:t>
      </w:r>
    </w:p>
    <w:p w:rsidR="00DA296F" w:rsidRDefault="00BA590B">
      <w:pPr>
        <w:rPr>
          <w:lang w:val="ca-ES"/>
        </w:rPr>
      </w:pPr>
      <w:r>
        <w:rPr>
          <w:lang w:val="ca-ES"/>
        </w:rPr>
        <w:t xml:space="preserve"> (Els números indiquen la pàgina, en l’edició d’Educació 62)</w:t>
      </w:r>
    </w:p>
    <w:p w:rsidR="00BA590B" w:rsidRDefault="00BA590B">
      <w:pPr>
        <w:rPr>
          <w:lang w:val="ca-ES"/>
        </w:rPr>
      </w:pPr>
    </w:p>
    <w:tbl>
      <w:tblPr>
        <w:tblStyle w:val="Taulaambquadrcula"/>
        <w:tblW w:w="0" w:type="auto"/>
        <w:tblLook w:val="04A0"/>
      </w:tblPr>
      <w:tblGrid>
        <w:gridCol w:w="4322"/>
        <w:gridCol w:w="4322"/>
      </w:tblGrid>
      <w:tr w:rsidR="00DA296F" w:rsidTr="00BA590B">
        <w:trPr>
          <w:trHeight w:val="8748"/>
        </w:trPr>
        <w:tc>
          <w:tcPr>
            <w:tcW w:w="4322" w:type="dxa"/>
          </w:tcPr>
          <w:p w:rsidR="00DA296F" w:rsidRPr="00DA296F" w:rsidRDefault="00DA296F" w:rsidP="00DA296F">
            <w:pPr>
              <w:jc w:val="both"/>
              <w:rPr>
                <w:lang w:val="ca-ES"/>
              </w:rPr>
            </w:pPr>
            <w:proofErr w:type="spellStart"/>
            <w:r w:rsidRPr="00DA296F">
              <w:rPr>
                <w:u w:val="single"/>
                <w:lang w:val="ca-ES"/>
              </w:rPr>
              <w:t>Antígona</w:t>
            </w:r>
            <w:proofErr w:type="spellEnd"/>
            <w:r w:rsidRPr="00DA296F">
              <w:rPr>
                <w:lang w:val="ca-ES"/>
              </w:rPr>
              <w:t>.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Les “obcecades actituds mentals donen pas sense trigança a fets sense remei” [tossuderia, encegament</w:t>
            </w:r>
            <w:r w:rsidR="00BA590B">
              <w:rPr>
                <w:lang w:val="ca-ES"/>
              </w:rPr>
              <w:t xml:space="preserve"> d’A.</w:t>
            </w:r>
            <w:r w:rsidRPr="00DA296F">
              <w:rPr>
                <w:lang w:val="ca-ES"/>
              </w:rPr>
              <w:t>] (98);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 xml:space="preserve"> 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soferta o oferta al sacrifici (103).</w:t>
            </w:r>
          </w:p>
        </w:tc>
        <w:tc>
          <w:tcPr>
            <w:tcW w:w="4322" w:type="dxa"/>
          </w:tcPr>
          <w:p w:rsidR="00DA296F" w:rsidRPr="00DA296F" w:rsidRDefault="00DA296F" w:rsidP="00DA296F">
            <w:pPr>
              <w:jc w:val="both"/>
              <w:rPr>
                <w:u w:val="single"/>
                <w:lang w:val="ca-ES"/>
              </w:rPr>
            </w:pPr>
            <w:proofErr w:type="spellStart"/>
            <w:r w:rsidRPr="00DA296F">
              <w:rPr>
                <w:u w:val="single"/>
                <w:lang w:val="ca-ES"/>
              </w:rPr>
              <w:t>Creont</w:t>
            </w:r>
            <w:proofErr w:type="spellEnd"/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Malfiat, cautelós, que perora sense gaire dialèctica,  amb “no massa èmfasi” (91);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venjatiu sanguinari (92);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 xml:space="preserve"> conciliador (93); 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obès, gens atractiu, ulls “de mirada fixa i glaçadora, com de serp” (que</w:t>
            </w:r>
            <w:r w:rsidR="001706EC">
              <w:rPr>
                <w:lang w:val="ca-ES"/>
              </w:rPr>
              <w:t>, per altra part,</w:t>
            </w:r>
            <w:r w:rsidRPr="00DA296F">
              <w:rPr>
                <w:lang w:val="ca-ES"/>
              </w:rPr>
              <w:t xml:space="preserve"> remet al drac o serpent mort per </w:t>
            </w:r>
            <w:proofErr w:type="spellStart"/>
            <w:r w:rsidRPr="00DA296F">
              <w:rPr>
                <w:lang w:val="ca-ES"/>
              </w:rPr>
              <w:t>Cadme</w:t>
            </w:r>
            <w:proofErr w:type="spellEnd"/>
            <w:r w:rsidRPr="00DA296F">
              <w:rPr>
                <w:lang w:val="ca-ES"/>
              </w:rPr>
              <w:t xml:space="preserve"> i els </w:t>
            </w:r>
            <w:proofErr w:type="spellStart"/>
            <w:r w:rsidRPr="00DA296F">
              <w:rPr>
                <w:lang w:val="ca-ES"/>
              </w:rPr>
              <w:t>Σπαρτοί</w:t>
            </w:r>
            <w:proofErr w:type="spellEnd"/>
            <w:r w:rsidRPr="00DA296F">
              <w:rPr>
                <w:lang w:val="ca-ES"/>
              </w:rPr>
              <w:t xml:space="preserve"> = ”homes sembrats”</w:t>
            </w:r>
            <w:r>
              <w:rPr>
                <w:lang w:val="ca-ES"/>
              </w:rPr>
              <w:t>, dels quals descendeix</w:t>
            </w:r>
            <w:r w:rsidRPr="00DA296F">
              <w:rPr>
                <w:lang w:val="ca-ES"/>
              </w:rPr>
              <w:t>)</w:t>
            </w:r>
            <w:r w:rsidR="001706EC">
              <w:rPr>
                <w:lang w:val="ca-ES"/>
              </w:rPr>
              <w:t xml:space="preserve">, </w:t>
            </w:r>
            <w:r w:rsidRPr="00DA296F">
              <w:rPr>
                <w:lang w:val="ca-ES"/>
              </w:rPr>
              <w:t>“fingir-se que és ben intencionat”, passió de manar, “gairebé és un vell”, “</w:t>
            </w:r>
            <w:proofErr w:type="spellStart"/>
            <w:r w:rsidRPr="00DA296F">
              <w:rPr>
                <w:lang w:val="ca-ES"/>
              </w:rPr>
              <w:t>Creont</w:t>
            </w:r>
            <w:proofErr w:type="spellEnd"/>
            <w:r w:rsidRPr="00DA296F">
              <w:rPr>
                <w:lang w:val="ca-ES"/>
              </w:rPr>
              <w:t xml:space="preserve"> no pot</w:t>
            </w:r>
            <w:r w:rsidR="00BA590B">
              <w:rPr>
                <w:lang w:val="ca-ES"/>
              </w:rPr>
              <w:t xml:space="preserve"> instituir perpètuament </w:t>
            </w:r>
            <w:proofErr w:type="spellStart"/>
            <w:r w:rsidR="00BA590B">
              <w:rPr>
                <w:lang w:val="ca-ES"/>
              </w:rPr>
              <w:t>Creont</w:t>
            </w:r>
            <w:proofErr w:type="spellEnd"/>
            <w:r w:rsidR="00BA590B">
              <w:rPr>
                <w:lang w:val="ca-ES"/>
              </w:rPr>
              <w:t>. Què vols que visqui, vint anys més, tal vegada trenta? Si no el colpeix molt abans una mort violenta.”</w:t>
            </w:r>
            <w:r w:rsidRPr="00DA296F">
              <w:rPr>
                <w:lang w:val="ca-ES"/>
              </w:rPr>
              <w:t>(94-95);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ús d’un argument ètic que és “sempre ben acollit per les orelles dels estults honestos”, assenyat oportunista (97);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odiat i temut (98);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 xml:space="preserve"> </w:t>
            </w: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</w:p>
          <w:p w:rsidR="00DA296F" w:rsidRPr="00DA296F" w:rsidRDefault="00DA296F" w:rsidP="00DA296F">
            <w:pPr>
              <w:jc w:val="both"/>
              <w:rPr>
                <w:lang w:val="ca-ES"/>
              </w:rPr>
            </w:pPr>
            <w:r w:rsidRPr="00DA296F">
              <w:rPr>
                <w:lang w:val="ca-ES"/>
              </w:rPr>
              <w:t>insegur, recelós: “potser viurà durant una llarguíssima temporadeta” (102)</w:t>
            </w:r>
          </w:p>
          <w:p w:rsidR="00DA296F" w:rsidRDefault="00DA296F" w:rsidP="00DA296F">
            <w:pPr>
              <w:jc w:val="both"/>
              <w:rPr>
                <w:lang w:val="ca-ES"/>
              </w:rPr>
            </w:pPr>
          </w:p>
          <w:p w:rsidR="00BA590B" w:rsidRDefault="00BA590B" w:rsidP="00DA296F">
            <w:pPr>
              <w:jc w:val="both"/>
              <w:rPr>
                <w:lang w:val="ca-ES"/>
              </w:rPr>
            </w:pPr>
          </w:p>
          <w:p w:rsidR="00BA590B" w:rsidRPr="00DA296F" w:rsidRDefault="00BA590B" w:rsidP="00DA296F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[jo, “el lúcid conseller”] “compto amb algun valedor a acontentar o a no enutjar fora de </w:t>
            </w:r>
            <w:proofErr w:type="spellStart"/>
            <w:r>
              <w:rPr>
                <w:lang w:val="ca-ES"/>
              </w:rPr>
              <w:t>Tebes</w:t>
            </w:r>
            <w:proofErr w:type="spellEnd"/>
            <w:r>
              <w:rPr>
                <w:lang w:val="ca-ES"/>
              </w:rPr>
              <w:t xml:space="preserve"> i espero que </w:t>
            </w:r>
            <w:proofErr w:type="spellStart"/>
            <w:r>
              <w:rPr>
                <w:lang w:val="ca-ES"/>
              </w:rPr>
              <w:t>Creont</w:t>
            </w:r>
            <w:proofErr w:type="spellEnd"/>
            <w:r>
              <w:rPr>
                <w:lang w:val="ca-ES"/>
              </w:rPr>
              <w:t xml:space="preserve"> no cometrà l’equivocació de molestar-me.”  (104)</w:t>
            </w:r>
          </w:p>
        </w:tc>
      </w:tr>
    </w:tbl>
    <w:p w:rsidR="00DA296F" w:rsidRDefault="00DA296F">
      <w:pPr>
        <w:rPr>
          <w:lang w:val="ca-ES"/>
        </w:rPr>
      </w:pPr>
    </w:p>
    <w:p w:rsidR="00DA296F" w:rsidRDefault="00DA296F"/>
    <w:p w:rsidR="00DA296F" w:rsidRDefault="00DA296F"/>
    <w:p w:rsidR="00DA296F" w:rsidRPr="00DA296F" w:rsidRDefault="00DA296F">
      <w:pPr>
        <w:rPr>
          <w:lang w:val="ca-ES"/>
        </w:rPr>
      </w:pPr>
    </w:p>
    <w:sectPr w:rsidR="00DA296F" w:rsidRPr="00DA296F" w:rsidSect="00740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96F"/>
    <w:rsid w:val="001706EC"/>
    <w:rsid w:val="0074056A"/>
    <w:rsid w:val="009508BE"/>
    <w:rsid w:val="00BA590B"/>
    <w:rsid w:val="00D55AF6"/>
    <w:rsid w:val="00DA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6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A2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2025-03-18T14:04:00Z</dcterms:created>
  <dcterms:modified xsi:type="dcterms:W3CDTF">2025-03-18T14:04:00Z</dcterms:modified>
</cp:coreProperties>
</file>