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3F" w:rsidRDefault="00447D3F" w:rsidP="00447D3F">
      <w:pPr>
        <w:autoSpaceDE w:val="0"/>
        <w:autoSpaceDN w:val="0"/>
        <w:adjustRightInd w:val="0"/>
        <w:jc w:val="left"/>
        <w:rPr>
          <w:rFonts w:ascii="OfficinaSans-Bold" w:hAnsi="OfficinaSans-Bold" w:cs="OfficinaSans-Bold"/>
          <w:b/>
          <w:bCs/>
          <w:color w:val="E60000"/>
          <w:sz w:val="28"/>
          <w:szCs w:val="28"/>
        </w:rPr>
      </w:pPr>
      <w:r>
        <w:rPr>
          <w:rFonts w:ascii="OfficinaSans-Bold" w:hAnsi="OfficinaSans-Bold" w:cs="OfficinaSans-Bold"/>
          <w:b/>
          <w:bCs/>
          <w:color w:val="000000"/>
          <w:sz w:val="28"/>
          <w:szCs w:val="28"/>
        </w:rPr>
        <w:t xml:space="preserve"> </w:t>
      </w:r>
      <w:r>
        <w:rPr>
          <w:rFonts w:ascii="OfficinaSans-Bold" w:hAnsi="OfficinaSans-Bold" w:cs="OfficinaSans-Bold"/>
          <w:b/>
          <w:bCs/>
          <w:color w:val="E60000"/>
          <w:sz w:val="28"/>
          <w:szCs w:val="28"/>
        </w:rPr>
        <w:t>GUIÓ PER AL COMENTARI DE L’OBRA</w:t>
      </w:r>
    </w:p>
    <w:p w:rsidR="00447D3F" w:rsidRDefault="00447D3F" w:rsidP="00447D3F">
      <w:pPr>
        <w:autoSpaceDE w:val="0"/>
        <w:autoSpaceDN w:val="0"/>
        <w:adjustRightInd w:val="0"/>
        <w:jc w:val="left"/>
        <w:rPr>
          <w:rFonts w:ascii="OfficinaSans-Bold" w:hAnsi="OfficinaSans-Bold" w:cs="OfficinaSans-Bold"/>
          <w:b/>
          <w:bCs/>
          <w:color w:val="E60000"/>
          <w:sz w:val="28"/>
          <w:szCs w:val="28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Arribada l’hora d’haver-se-les amb un fragment dels episodis amorosos del Tirant, disposar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d’una sinopsi de conceptes clau orienta la feina. A continuació, se’n proposa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una, apta per a qualsevol de les composicions amb què calgui barallar-se: punts que,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sigui quin sigui el text plantejat, segurament hi haurà opció de tractar. La voluntat de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síntesi aconsella, aquí, inclinar-se per un format esquemàtic, és a dir, evitar la redacció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en benefici del resum pautat, de la claredat gràfica del compendi, de l’estalvi lingüístic.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No obstant això, no sobra recordar que un comentari es fonamenta en la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construcció d’un discurs amb continuïtat, coherència global i argumentacions validades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per elements textuals, que integrin sistemàticament citacions i referències al text.</w:t>
      </w: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color w:val="000000"/>
          <w:sz w:val="24"/>
          <w:szCs w:val="24"/>
        </w:rPr>
        <w:t xml:space="preserve"> Contextualització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efervescència literària i cultural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 València es deu a una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situació econòmica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pletòrica,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fruit d’un teixit industrial que el Principat no té. Aquesta cultura està en contacte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amb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Renaixement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italià, però encara té traces dels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models de vida cortesans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medievals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Martorell assumeix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antropocentrisme humanista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procura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realisme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a la seva obra,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però no desestima les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convencions cortesanes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La seva proposta literària representa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els moments 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transició de models de vida i d’estètica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models literaris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 què disposa Martorell són els de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novel·la de cavalleries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;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també la tradició de les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cançons de gesta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lais narratius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, a més dels propis de la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historiografia catalana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Tirant lo Blanc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Curial e Güelfa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representen els models 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novel·la cavalleresca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Presenten 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relativisme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de l’ideal cortesà. El Tirant utilitza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humorisme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com a recurs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distanciament narratiu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Martorell fa de la novel·la un procediment interpretatiu d’un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món en decadència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i defensa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model de cavaller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que no reté guanys materials. Tirant exalça 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valors originaris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 la cavalleria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els que rauen en 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principis virtuosos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color w:val="000000"/>
          <w:sz w:val="24"/>
          <w:szCs w:val="24"/>
        </w:rPr>
        <w:t xml:space="preserve"> Estructura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Les aventures amoroses estan limitades a 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marc geogràfic únic,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imperi Grec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Sobretot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a la capital, </w:t>
      </w:r>
      <w:proofErr w:type="spellStart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Constantinoble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amb l’epicentre al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palau imperial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Secundàriament,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en ambients propers a la cort: la ciutat de Pera, a escassa distància, i el castell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Malveí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Sovint hi ha una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dinàmica de comèdia d’embolics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: entrades i sortides d’estances,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amagatalls, portes que s’obren i es tanquen, fugides cames ajudeu-me, entrevistes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clandestines, enganys i mentides.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temps extern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històric, és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gairebé contemporani del moment d’escriptura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de l’obra: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 Tirant transcorre entre 1450 i1462, aproximadament,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dates molt properes al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període de redacció de la novel·la, que comença el 1460 i culmina amb la seva publicació,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el 1490. Atès que passen dos anys abans que Tirant arribi a Grècia i que el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naufragi al nord d’Àfrica imposa un parèntesi de quatre anys en la peripècia bizantina,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fixem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l’interval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 1452-1457 per al sojorn inicial a l’Imperi i 1461-1462 per a la tornada,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fins al desenllaç.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temps intern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la durada de l’acció,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abasta onze anys i mig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per a tota la novel·la.</w:t>
      </w: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Quant als episodis sentimentals seleccionats,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primera estada a </w:t>
      </w:r>
      <w:proofErr w:type="spellStart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Constantinoble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s’allarga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 quadrienni i un semestre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;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retorn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 any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La nostra lectura comprèn,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doncs, cinc anys i mig, gairebé la meitat de la ficció sencera.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Com que es tracta d’una antologia temàtica, que només contempla l’anècdota amorosa,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es perd la trama paral·lela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que organitza aquesta part del Tirant: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alternança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entre seqüències sentimentals i bèl·liques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compatible amb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linealitat general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d’una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narració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que avança a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l’ensems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 que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biografia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protagonista.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Consegüentment,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domina l’ordre cronològic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gestionat per 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narrador omniscient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Amb tot, hi ha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puntuals ruptures de la temporalitat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: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flashbacks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somnis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, que impliquen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que es cedeixi la paraula a 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segon narrador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ara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intern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Es parteix d’un fons argumental universal, amb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motius i tòpics manllevats de tradicions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diverses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: clàssica grecollatina, matèria de Bretanya, amor cortès,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dolce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stil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novo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fabliaux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Boccaccio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entre d’altres.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Joc </w:t>
      </w:r>
      <w:proofErr w:type="spellStart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intertextual</w:t>
      </w:r>
      <w:proofErr w:type="spellEnd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constant, que s’erigeix com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un dels trets identificadors del Tirant.</w:t>
      </w: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color w:val="000000"/>
          <w:sz w:val="24"/>
          <w:szCs w:val="24"/>
        </w:rPr>
        <w:t xml:space="preserve"> Temàtica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Martorell associa 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personatges masculins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a 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dinamisme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que els fa anar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dels espais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exteriors als espais interiors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Aquest dualisme reforça l’estructura partida de la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novel·la en episodis bèl·lics i episodis amorosos.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exterior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és una representació de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èpica masculina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en la defensa bèl·lica del patrimoni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col·lectiu; i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interior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del palau és símbol del cos de la dona i del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domini de la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feminitat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 prestigi adquirit pel cavaller en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camp de batalla exterior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li facilitarà l’accés al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camp de batalla de l’amor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La feminitat domina, per tant, activament els espais interiors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i passivament els exteriors.</w:t>
      </w:r>
    </w:p>
    <w:p w:rsidR="007B68F7" w:rsidRPr="00447D3F" w:rsidRDefault="007B68F7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Els viatges de Tirant per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exterior de la gran història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i per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interior del palau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de Carmesina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li atorguen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volum psicològic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permeten parlar d’una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iniciació vital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d’un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itinerari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 maduresa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B68F7" w:rsidRPr="00447D3F" w:rsidRDefault="007B68F7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Les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modalitats d’amor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virtuosa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profitosa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viciosa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) organitzen els episodis amatoris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del Tirant i classifiquen els seus personatges.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Tirant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és el representant de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amor virtuós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lastRenderedPageBreak/>
        <w:t xml:space="preserve">·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Plaerdemavida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 condensa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vitalisme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Carmesina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virtuositat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.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blancor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s’associa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a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joventut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vermell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a la decadència de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vellesa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, cristal·litzada en la Viuda Reposada.</w:t>
      </w:r>
    </w:p>
    <w:p w:rsidR="007B68F7" w:rsidRPr="00447D3F" w:rsidRDefault="007B68F7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L’episodi de l’Emperadriu i Hipòlit mostra com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desig carnal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és lícit si hi ha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noblesa</w:t>
      </w:r>
      <w:r w:rsidR="007B68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dolor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B68F7" w:rsidRPr="007B68F7" w:rsidRDefault="007B68F7" w:rsidP="00447D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iconografia medieval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potencia els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ulls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com a estímul 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libido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amor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sempre va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de bracet amb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sexe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. I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sexualitat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al Tirant és tractada de manera desimbolta i presentada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en una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àmplia gamma de modalitats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B68F7" w:rsidRPr="00447D3F" w:rsidRDefault="007B68F7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P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tractament del sexe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al Tirant mostra totes les seves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(per)versions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 És destacable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la presència 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voyeurisme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lesbianisme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de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fetitxisme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del </w:t>
      </w:r>
      <w:proofErr w:type="spellStart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ménage</w:t>
      </w:r>
      <w:proofErr w:type="spellEnd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à </w:t>
      </w:r>
      <w:proofErr w:type="spellStart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trois</w:t>
      </w:r>
      <w:proofErr w:type="spellEnd"/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i de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incest</w:t>
      </w:r>
      <w:proofErr w:type="spellEnd"/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B68F7" w:rsidRDefault="007B68F7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color w:val="000000"/>
          <w:sz w:val="24"/>
          <w:szCs w:val="24"/>
        </w:rPr>
        <w:t>Forma</w:t>
      </w:r>
    </w:p>
    <w:p w:rsidR="007B68F7" w:rsidRPr="00447D3F" w:rsidRDefault="007B68F7" w:rsidP="00447D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47D3F" w:rsidRDefault="00447D3F" w:rsidP="00447D3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Es recorre a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metàfora bèl·lica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: el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llenguatge militar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verbalitza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experiència amorosa.</w:t>
      </w:r>
      <w:r w:rsidR="007B68F7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Subsidiàriament, es recorre a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metàfora mèdica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: l’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amor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expressat com 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malaltia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7B68F7" w:rsidRPr="007B68F7" w:rsidRDefault="007B68F7" w:rsidP="00447D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D30CCF" w:rsidRPr="007B68F7" w:rsidRDefault="00447D3F" w:rsidP="007B68F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447D3F">
        <w:rPr>
          <w:rFonts w:ascii="Arial" w:hAnsi="Arial" w:cs="Arial"/>
          <w:b/>
          <w:bCs/>
          <w:i/>
          <w:iCs/>
          <w:color w:val="E60000"/>
          <w:sz w:val="24"/>
          <w:szCs w:val="24"/>
        </w:rPr>
        <w:t xml:space="preserve">·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Hi ha una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duplicitat estilística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: d’un cantó, la «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valenciana prosa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», retòrica, grandiloqüent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i alambinada, culta i llatinitzada (apta per als grans discursos amorosos); de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l’altre, la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llengua col·loquial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familiar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 xml:space="preserve">i </w:t>
      </w:r>
      <w:r w:rsidRPr="00447D3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popular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, rica en refranys, sentències i frases</w:t>
      </w:r>
      <w:r w:rsidR="007B68F7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447D3F">
        <w:rPr>
          <w:rFonts w:ascii="Arial" w:hAnsi="Arial" w:cs="Arial"/>
          <w:i/>
          <w:iCs/>
          <w:color w:val="000000"/>
          <w:sz w:val="24"/>
          <w:szCs w:val="24"/>
        </w:rPr>
        <w:t>fetes (pròpia dels diàlegs breus).</w:t>
      </w:r>
    </w:p>
    <w:sectPr w:rsidR="00D30CCF" w:rsidRPr="007B68F7" w:rsidSect="00C51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47D3F"/>
    <w:rsid w:val="00025E58"/>
    <w:rsid w:val="00094D7F"/>
    <w:rsid w:val="00447D3F"/>
    <w:rsid w:val="00563DCA"/>
    <w:rsid w:val="005931A1"/>
    <w:rsid w:val="007B68F7"/>
    <w:rsid w:val="009D3C0F"/>
    <w:rsid w:val="00AB111A"/>
    <w:rsid w:val="00C51D3A"/>
    <w:rsid w:val="00D30CCF"/>
    <w:rsid w:val="00D8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</dc:creator>
  <cp:lastModifiedBy>PBP</cp:lastModifiedBy>
  <cp:revision>1</cp:revision>
  <dcterms:created xsi:type="dcterms:W3CDTF">2016-01-09T18:18:00Z</dcterms:created>
  <dcterms:modified xsi:type="dcterms:W3CDTF">2016-01-09T18:31:00Z</dcterms:modified>
</cp:coreProperties>
</file>